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731B" w14:textId="77777777" w:rsidR="00004FFE" w:rsidRDefault="00004FFE" w:rsidP="00FB2EDF">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p>
    <w:p w14:paraId="51306454" w14:textId="56A97F2B" w:rsidR="00FB2EDF" w:rsidRPr="00004FFE" w:rsidRDefault="00FB2EDF" w:rsidP="00FB2EDF">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004FFE">
        <w:rPr>
          <w:rFonts w:ascii="Times New Roman" w:eastAsia="Times New Roman" w:hAnsi="Times New Roman" w:cs="Times New Roman"/>
          <w:kern w:val="0"/>
          <w:sz w:val="28"/>
          <w:szCs w:val="28"/>
          <w:lang w:eastAsia="de-DE"/>
          <w14:ligatures w14:val="none"/>
        </w:rPr>
        <w:t xml:space="preserve">Den </w:t>
      </w:r>
      <w:r w:rsidRPr="00004FFE">
        <w:rPr>
          <w:rFonts w:ascii="Times New Roman" w:eastAsia="Times New Roman" w:hAnsi="Times New Roman" w:cs="Times New Roman"/>
          <w:b/>
          <w:bCs/>
          <w:kern w:val="0"/>
          <w:sz w:val="28"/>
          <w:szCs w:val="28"/>
          <w:lang w:eastAsia="de-DE"/>
          <w14:ligatures w14:val="none"/>
        </w:rPr>
        <w:t>Aufsatz von Günter Wartenberg (1997)</w:t>
      </w:r>
      <w:r w:rsidRPr="00004FFE">
        <w:rPr>
          <w:rFonts w:ascii="Times New Roman" w:eastAsia="Times New Roman" w:hAnsi="Times New Roman" w:cs="Times New Roman"/>
          <w:kern w:val="0"/>
          <w:sz w:val="28"/>
          <w:szCs w:val="28"/>
          <w:lang w:eastAsia="de-DE"/>
          <w14:ligatures w14:val="none"/>
        </w:rPr>
        <w:t xml:space="preserve"> gibt es nicht frei im Internet. Du bekommst ihn zuverlässig über Bibliotheken, vor allem über die SLUB Dresden, Die SLUB besitzt die komplette Zeitschrift </w:t>
      </w:r>
      <w:r w:rsidRPr="00004FFE">
        <w:rPr>
          <w:rFonts w:ascii="Times New Roman" w:eastAsia="Times New Roman" w:hAnsi="Times New Roman" w:cs="Times New Roman"/>
          <w:i/>
          <w:iCs/>
          <w:kern w:val="0"/>
          <w:sz w:val="28"/>
          <w:szCs w:val="28"/>
          <w:lang w:eastAsia="de-DE"/>
          <w14:ligatures w14:val="none"/>
        </w:rPr>
        <w:t>Beiträge zur Namenforschung</w:t>
      </w:r>
      <w:r w:rsidRPr="00004FFE">
        <w:rPr>
          <w:rFonts w:ascii="Times New Roman" w:eastAsia="Times New Roman" w:hAnsi="Times New Roman" w:cs="Times New Roman"/>
          <w:kern w:val="0"/>
          <w:sz w:val="28"/>
          <w:szCs w:val="28"/>
          <w:lang w:eastAsia="de-DE"/>
          <w14:ligatures w14:val="none"/>
        </w:rPr>
        <w:t>, auch den Jahrgang 32 (1997), in dem Wartenbergs Aufsatz erschienen ist.</w:t>
      </w:r>
    </w:p>
    <w:p w14:paraId="4885C0E8" w14:textId="77777777" w:rsidR="00FB2EDF" w:rsidRPr="00004FFE" w:rsidRDefault="00FB2EDF" w:rsidP="00FB2ED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004FFE">
        <w:rPr>
          <w:rFonts w:ascii="Times New Roman" w:eastAsia="Times New Roman" w:hAnsi="Times New Roman" w:cs="Times New Roman"/>
          <w:kern w:val="0"/>
          <w:sz w:val="28"/>
          <w:szCs w:val="28"/>
          <w:lang w:eastAsia="de-DE"/>
          <w14:ligatures w14:val="none"/>
        </w:rPr>
        <w:t>Die Zeitschrift ist nicht digitalisiert, aber vor Ort einsehbar.</w:t>
      </w:r>
    </w:p>
    <w:p w14:paraId="4E466EAE" w14:textId="77777777" w:rsidR="00FB2EDF" w:rsidRPr="00004FFE" w:rsidRDefault="00FB2EDF" w:rsidP="00FB2ED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004FFE">
        <w:rPr>
          <w:rFonts w:ascii="Times New Roman" w:eastAsia="Times New Roman" w:hAnsi="Times New Roman" w:cs="Times New Roman"/>
          <w:kern w:val="0"/>
          <w:sz w:val="28"/>
          <w:szCs w:val="28"/>
          <w:lang w:eastAsia="de-DE"/>
          <w14:ligatures w14:val="none"/>
        </w:rPr>
        <w:t>Du kannst dir den Artikel kopieren oder scannen.</w:t>
      </w:r>
    </w:p>
    <w:p w14:paraId="49CED750" w14:textId="5D57BD2D" w:rsidR="00004FFE" w:rsidRPr="00004FFE" w:rsidRDefault="00FB2EDF" w:rsidP="00004FFE">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004FFE">
        <w:rPr>
          <w:rFonts w:ascii="Times New Roman" w:eastAsia="Times New Roman" w:hAnsi="Times New Roman" w:cs="Times New Roman"/>
          <w:kern w:val="0"/>
          <w:sz w:val="28"/>
          <w:szCs w:val="28"/>
          <w:lang w:eastAsia="de-DE"/>
          <w14:ligatures w14:val="none"/>
        </w:rPr>
        <w:t>Signatur der SLUB:</w:t>
      </w:r>
      <w:r w:rsidR="00004FFE">
        <w:rPr>
          <w:rFonts w:ascii="Times New Roman" w:eastAsia="Times New Roman" w:hAnsi="Times New Roman" w:cs="Times New Roman"/>
          <w:kern w:val="0"/>
          <w:sz w:val="28"/>
          <w:szCs w:val="28"/>
          <w:lang w:eastAsia="de-DE"/>
          <w14:ligatures w14:val="none"/>
        </w:rPr>
        <w:t xml:space="preserve"> </w:t>
      </w:r>
      <w:r w:rsidRPr="00004FFE">
        <w:rPr>
          <w:rFonts w:ascii="Times New Roman" w:eastAsia="Times New Roman" w:hAnsi="Times New Roman" w:cs="Times New Roman"/>
          <w:i/>
          <w:iCs/>
          <w:kern w:val="0"/>
          <w:sz w:val="28"/>
          <w:szCs w:val="28"/>
          <w:lang w:eastAsia="de-DE"/>
          <w14:ligatures w14:val="none"/>
        </w:rPr>
        <w:t>Beiträge zur Namenforschung</w:t>
      </w:r>
      <w:r w:rsidRPr="00004FFE">
        <w:rPr>
          <w:rFonts w:ascii="Times New Roman" w:eastAsia="Times New Roman" w:hAnsi="Times New Roman" w:cs="Times New Roman"/>
          <w:kern w:val="0"/>
          <w:sz w:val="28"/>
          <w:szCs w:val="28"/>
          <w:lang w:eastAsia="de-DE"/>
          <w14:ligatures w14:val="none"/>
        </w:rPr>
        <w:t>, Jahrgang 32 (1997), S. 201–220.</w:t>
      </w:r>
    </w:p>
    <w:p w14:paraId="50905409" w14:textId="02003757" w:rsidR="00004FFE" w:rsidRPr="00004FFE" w:rsidRDefault="00004FFE" w:rsidP="00004FFE">
      <w:pPr>
        <w:spacing w:before="100" w:beforeAutospacing="1" w:after="100" w:afterAutospacing="1" w:line="240" w:lineRule="auto"/>
        <w:outlineLvl w:val="0"/>
        <w:rPr>
          <w:rFonts w:ascii="Times New Roman" w:eastAsia="Times New Roman" w:hAnsi="Times New Roman" w:cs="Times New Roman"/>
          <w:b/>
          <w:bCs/>
          <w:kern w:val="36"/>
          <w:sz w:val="36"/>
          <w:szCs w:val="36"/>
          <w:lang w:eastAsia="de-DE"/>
          <w14:ligatures w14:val="none"/>
        </w:rPr>
      </w:pPr>
      <w:r>
        <w:rPr>
          <w:rFonts w:ascii="Times New Roman" w:eastAsia="Times New Roman" w:hAnsi="Times New Roman" w:cs="Times New Roman"/>
          <w:b/>
          <w:bCs/>
          <w:kern w:val="36"/>
          <w:sz w:val="36"/>
          <w:szCs w:val="36"/>
          <w:lang w:eastAsia="de-DE"/>
          <w14:ligatures w14:val="none"/>
        </w:rPr>
        <w:t xml:space="preserve">Hier eine </w:t>
      </w:r>
      <w:r w:rsidRPr="00004FFE">
        <w:rPr>
          <w:rFonts w:ascii="Times New Roman" w:eastAsia="Times New Roman" w:hAnsi="Times New Roman" w:cs="Times New Roman"/>
          <w:b/>
          <w:bCs/>
          <w:kern w:val="36"/>
          <w:sz w:val="36"/>
          <w:szCs w:val="36"/>
          <w:lang w:eastAsia="de-DE"/>
          <w14:ligatures w14:val="none"/>
        </w:rPr>
        <w:t>Kurzfassung</w:t>
      </w:r>
      <w:r>
        <w:rPr>
          <w:rFonts w:ascii="Times New Roman" w:eastAsia="Times New Roman" w:hAnsi="Times New Roman" w:cs="Times New Roman"/>
          <w:b/>
          <w:bCs/>
          <w:kern w:val="36"/>
          <w:sz w:val="36"/>
          <w:szCs w:val="36"/>
          <w:lang w:eastAsia="de-DE"/>
          <w14:ligatures w14:val="none"/>
        </w:rPr>
        <w:t xml:space="preserve"> </w:t>
      </w:r>
      <w:r w:rsidRPr="00004FFE">
        <w:rPr>
          <w:rFonts w:ascii="Times New Roman" w:eastAsia="Times New Roman" w:hAnsi="Times New Roman" w:cs="Times New Roman"/>
          <w:b/>
          <w:bCs/>
          <w:kern w:val="36"/>
          <w:sz w:val="36"/>
          <w:szCs w:val="36"/>
          <w:lang w:eastAsia="de-DE"/>
          <w14:ligatures w14:val="none"/>
        </w:rPr>
        <w:t>(S. 201–220)</w:t>
      </w:r>
    </w:p>
    <w:p w14:paraId="05162AE0" w14:textId="77777777" w:rsidR="00004FFE" w:rsidRPr="00004FFE" w:rsidRDefault="00004FFE" w:rsidP="00004FFE">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004FFE">
        <w:rPr>
          <w:rFonts w:ascii="Times New Roman" w:eastAsia="Times New Roman" w:hAnsi="Times New Roman" w:cs="Times New Roman"/>
          <w:kern w:val="0"/>
          <w:sz w:val="28"/>
          <w:szCs w:val="28"/>
          <w:lang w:eastAsia="de-DE"/>
          <w14:ligatures w14:val="none"/>
        </w:rPr>
        <w:t xml:space="preserve">Günter Wartenberg zeigt, dass der Colditzer Raum eine dichte Schicht frühslawischer Ortsnamen bewahrt, deren lautliche Struktur und räumliche Verteilung auf ein frühes </w:t>
      </w:r>
      <w:proofErr w:type="spellStart"/>
      <w:r w:rsidRPr="00004FFE">
        <w:rPr>
          <w:rFonts w:ascii="Times New Roman" w:eastAsia="Times New Roman" w:hAnsi="Times New Roman" w:cs="Times New Roman"/>
          <w:kern w:val="0"/>
          <w:sz w:val="28"/>
          <w:szCs w:val="28"/>
          <w:lang w:eastAsia="de-DE"/>
          <w14:ligatures w14:val="none"/>
        </w:rPr>
        <w:t>Siedlungs</w:t>
      </w:r>
      <w:proofErr w:type="spellEnd"/>
      <w:r w:rsidRPr="00004FFE">
        <w:rPr>
          <w:rFonts w:ascii="Times New Roman" w:eastAsia="Times New Roman" w:hAnsi="Times New Roman" w:cs="Times New Roman"/>
          <w:kern w:val="0"/>
          <w:sz w:val="28"/>
          <w:szCs w:val="28"/>
          <w:lang w:eastAsia="de-DE"/>
          <w14:ligatures w14:val="none"/>
        </w:rPr>
        <w:noBreakHyphen/>
        <w:t xml:space="preserve"> und Herrschaftszentrum schließen lassen. Der Name </w:t>
      </w:r>
      <w:r w:rsidRPr="00004FFE">
        <w:rPr>
          <w:rFonts w:ascii="Times New Roman" w:eastAsia="Times New Roman" w:hAnsi="Times New Roman" w:cs="Times New Roman"/>
          <w:i/>
          <w:iCs/>
          <w:kern w:val="0"/>
          <w:sz w:val="28"/>
          <w:szCs w:val="28"/>
          <w:lang w:eastAsia="de-DE"/>
          <w14:ligatures w14:val="none"/>
        </w:rPr>
        <w:t>Teitzig</w:t>
      </w:r>
      <w:r w:rsidRPr="00004FFE">
        <w:rPr>
          <w:rFonts w:ascii="Times New Roman" w:eastAsia="Times New Roman" w:hAnsi="Times New Roman" w:cs="Times New Roman"/>
          <w:kern w:val="0"/>
          <w:sz w:val="28"/>
          <w:szCs w:val="28"/>
          <w:lang w:eastAsia="de-DE"/>
          <w14:ligatures w14:val="none"/>
        </w:rPr>
        <w:t xml:space="preserve"> wird als sekundäre, eingedeutschte Form eines älteren slawischen Namens gedeutet, dessen ursprüngliche Gestalt im Bereich von </w:t>
      </w:r>
      <w:proofErr w:type="spellStart"/>
      <w:r w:rsidRPr="00004FFE">
        <w:rPr>
          <w:rFonts w:ascii="Times New Roman" w:eastAsia="Times New Roman" w:hAnsi="Times New Roman" w:cs="Times New Roman"/>
          <w:i/>
          <w:iCs/>
          <w:kern w:val="0"/>
          <w:sz w:val="28"/>
          <w:szCs w:val="28"/>
          <w:lang w:eastAsia="de-DE"/>
          <w14:ligatures w14:val="none"/>
        </w:rPr>
        <w:t>Tibuzin</w:t>
      </w:r>
      <w:proofErr w:type="spellEnd"/>
      <w:r w:rsidRPr="00004FFE">
        <w:rPr>
          <w:rFonts w:ascii="Times New Roman" w:eastAsia="Times New Roman" w:hAnsi="Times New Roman" w:cs="Times New Roman"/>
          <w:i/>
          <w:iCs/>
          <w:kern w:val="0"/>
          <w:sz w:val="28"/>
          <w:szCs w:val="28"/>
          <w:lang w:eastAsia="de-DE"/>
          <w14:ligatures w14:val="none"/>
        </w:rPr>
        <w:t xml:space="preserve"> / </w:t>
      </w:r>
      <w:proofErr w:type="spellStart"/>
      <w:r w:rsidRPr="00004FFE">
        <w:rPr>
          <w:rFonts w:ascii="Times New Roman" w:eastAsia="Times New Roman" w:hAnsi="Times New Roman" w:cs="Times New Roman"/>
          <w:i/>
          <w:iCs/>
          <w:kern w:val="0"/>
          <w:sz w:val="28"/>
          <w:szCs w:val="28"/>
          <w:lang w:eastAsia="de-DE"/>
          <w14:ligatures w14:val="none"/>
        </w:rPr>
        <w:t>Tibucin</w:t>
      </w:r>
      <w:proofErr w:type="spellEnd"/>
      <w:r w:rsidRPr="00004FFE">
        <w:rPr>
          <w:rFonts w:ascii="Times New Roman" w:eastAsia="Times New Roman" w:hAnsi="Times New Roman" w:cs="Times New Roman"/>
          <w:kern w:val="0"/>
          <w:sz w:val="28"/>
          <w:szCs w:val="28"/>
          <w:lang w:eastAsia="de-DE"/>
          <w14:ligatures w14:val="none"/>
        </w:rPr>
        <w:t xml:space="preserve"> anzusetzen ist. Diese lautgesetzliche Nähe macht </w:t>
      </w:r>
      <w:r w:rsidRPr="00004FFE">
        <w:rPr>
          <w:rFonts w:ascii="Times New Roman" w:eastAsia="Times New Roman" w:hAnsi="Times New Roman" w:cs="Times New Roman"/>
          <w:i/>
          <w:iCs/>
          <w:kern w:val="0"/>
          <w:sz w:val="28"/>
          <w:szCs w:val="28"/>
          <w:lang w:eastAsia="de-DE"/>
          <w14:ligatures w14:val="none"/>
        </w:rPr>
        <w:t>Teitzig</w:t>
      </w:r>
      <w:r w:rsidRPr="00004FFE">
        <w:rPr>
          <w:rFonts w:ascii="Times New Roman" w:eastAsia="Times New Roman" w:hAnsi="Times New Roman" w:cs="Times New Roman"/>
          <w:kern w:val="0"/>
          <w:sz w:val="28"/>
          <w:szCs w:val="28"/>
          <w:lang w:eastAsia="de-DE"/>
          <w14:ligatures w14:val="none"/>
        </w:rPr>
        <w:t xml:space="preserve"> zu einem direkten sprachlichen Reflex derselben Namenschicht, aus der auch das in den Quellen belegte </w:t>
      </w:r>
      <w:r w:rsidRPr="00004FFE">
        <w:rPr>
          <w:rFonts w:ascii="Times New Roman" w:eastAsia="Times New Roman" w:hAnsi="Times New Roman" w:cs="Times New Roman"/>
          <w:i/>
          <w:iCs/>
          <w:kern w:val="0"/>
          <w:sz w:val="28"/>
          <w:szCs w:val="28"/>
          <w:lang w:eastAsia="de-DE"/>
          <w14:ligatures w14:val="none"/>
        </w:rPr>
        <w:t>Titibutzien</w:t>
      </w:r>
      <w:r w:rsidRPr="00004FFE">
        <w:rPr>
          <w:rFonts w:ascii="Times New Roman" w:eastAsia="Times New Roman" w:hAnsi="Times New Roman" w:cs="Times New Roman"/>
          <w:kern w:val="0"/>
          <w:sz w:val="28"/>
          <w:szCs w:val="28"/>
          <w:lang w:eastAsia="de-DE"/>
          <w14:ligatures w14:val="none"/>
        </w:rPr>
        <w:t xml:space="preserve"> stammt. Wartenberg betont zudem die Bedeutung topographisch markanter Spornlagen über der Mulde, die bevorzugte Standorte frühmittelalterlicher Burgwarde waren. Die unmittelbare Nachbarschaft von Teitzig, Lastau und dem mutmaßlichen Burgsporn entspricht exakt diesem Muster. Damit stützen seine Befunde die Annahme, dass </w:t>
      </w:r>
      <w:r w:rsidRPr="00004FFE">
        <w:rPr>
          <w:rFonts w:ascii="Times New Roman" w:eastAsia="Times New Roman" w:hAnsi="Times New Roman" w:cs="Times New Roman"/>
          <w:i/>
          <w:iCs/>
          <w:kern w:val="0"/>
          <w:sz w:val="28"/>
          <w:szCs w:val="28"/>
          <w:lang w:eastAsia="de-DE"/>
          <w14:ligatures w14:val="none"/>
        </w:rPr>
        <w:t>Titibutzien</w:t>
      </w:r>
      <w:r w:rsidRPr="00004FFE">
        <w:rPr>
          <w:rFonts w:ascii="Times New Roman" w:eastAsia="Times New Roman" w:hAnsi="Times New Roman" w:cs="Times New Roman"/>
          <w:kern w:val="0"/>
          <w:sz w:val="28"/>
          <w:szCs w:val="28"/>
          <w:lang w:eastAsia="de-DE"/>
          <w14:ligatures w14:val="none"/>
        </w:rPr>
        <w:t xml:space="preserve"> im Raum Lastau–Teitzig lokalisiert werden muss.</w:t>
      </w:r>
    </w:p>
    <w:p w14:paraId="3E778607" w14:textId="416B68A7" w:rsidR="00004FFE" w:rsidRPr="00004FFE" w:rsidRDefault="00004FFE" w:rsidP="00004FFE">
      <w:pPr>
        <w:spacing w:after="0" w:line="240" w:lineRule="auto"/>
        <w:rPr>
          <w:rFonts w:ascii="Times New Roman" w:eastAsia="Times New Roman" w:hAnsi="Times New Roman" w:cs="Times New Roman"/>
          <w:kern w:val="0"/>
          <w:sz w:val="28"/>
          <w:szCs w:val="28"/>
          <w:lang w:eastAsia="de-DE"/>
          <w14:ligatures w14:val="none"/>
        </w:rPr>
      </w:pPr>
    </w:p>
    <w:p w14:paraId="2BDC8E12" w14:textId="77777777" w:rsidR="00FB2EDF" w:rsidRDefault="00FB2EDF" w:rsidP="00004FFE">
      <w:pPr>
        <w:spacing w:before="100" w:beforeAutospacing="1" w:after="100" w:afterAutospacing="1" w:line="240" w:lineRule="auto"/>
      </w:pPr>
    </w:p>
    <w:sectPr w:rsidR="00FB2E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824"/>
    <w:multiLevelType w:val="multilevel"/>
    <w:tmpl w:val="F570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113B9"/>
    <w:multiLevelType w:val="multilevel"/>
    <w:tmpl w:val="B7EEB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168EA"/>
    <w:multiLevelType w:val="multilevel"/>
    <w:tmpl w:val="2EB6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93A8D"/>
    <w:multiLevelType w:val="multilevel"/>
    <w:tmpl w:val="CB70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E40FA"/>
    <w:multiLevelType w:val="multilevel"/>
    <w:tmpl w:val="0706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028640">
    <w:abstractNumId w:val="2"/>
  </w:num>
  <w:num w:numId="2" w16cid:durableId="1475945004">
    <w:abstractNumId w:val="4"/>
  </w:num>
  <w:num w:numId="3" w16cid:durableId="1102411650">
    <w:abstractNumId w:val="1"/>
  </w:num>
  <w:num w:numId="4" w16cid:durableId="219638034">
    <w:abstractNumId w:val="0"/>
  </w:num>
  <w:num w:numId="5" w16cid:durableId="1709522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DF"/>
    <w:rsid w:val="00004FFE"/>
    <w:rsid w:val="002817F6"/>
    <w:rsid w:val="00A53306"/>
    <w:rsid w:val="00FB2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055B"/>
  <w15:chartTrackingRefBased/>
  <w15:docId w15:val="{1380AD39-3866-4DCA-9F37-FDED3DDC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2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2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2E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2E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2E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2E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2E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2E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2E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2E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2E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2E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2E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2E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2E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2E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2E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2EDF"/>
    <w:rPr>
      <w:rFonts w:eastAsiaTheme="majorEastAsia" w:cstheme="majorBidi"/>
      <w:color w:val="272727" w:themeColor="text1" w:themeTint="D8"/>
    </w:rPr>
  </w:style>
  <w:style w:type="paragraph" w:styleId="Titel">
    <w:name w:val="Title"/>
    <w:basedOn w:val="Standard"/>
    <w:next w:val="Standard"/>
    <w:link w:val="TitelZchn"/>
    <w:uiPriority w:val="10"/>
    <w:qFormat/>
    <w:rsid w:val="00FB2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2E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2E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2E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2E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B2EDF"/>
    <w:rPr>
      <w:i/>
      <w:iCs/>
      <w:color w:val="404040" w:themeColor="text1" w:themeTint="BF"/>
    </w:rPr>
  </w:style>
  <w:style w:type="paragraph" w:styleId="Listenabsatz">
    <w:name w:val="List Paragraph"/>
    <w:basedOn w:val="Standard"/>
    <w:uiPriority w:val="34"/>
    <w:qFormat/>
    <w:rsid w:val="00FB2EDF"/>
    <w:pPr>
      <w:ind w:left="720"/>
      <w:contextualSpacing/>
    </w:pPr>
  </w:style>
  <w:style w:type="character" w:styleId="IntensiveHervorhebung">
    <w:name w:val="Intense Emphasis"/>
    <w:basedOn w:val="Absatz-Standardschriftart"/>
    <w:uiPriority w:val="21"/>
    <w:qFormat/>
    <w:rsid w:val="00FB2EDF"/>
    <w:rPr>
      <w:i/>
      <w:iCs/>
      <w:color w:val="0F4761" w:themeColor="accent1" w:themeShade="BF"/>
    </w:rPr>
  </w:style>
  <w:style w:type="paragraph" w:styleId="IntensivesZitat">
    <w:name w:val="Intense Quote"/>
    <w:basedOn w:val="Standard"/>
    <w:next w:val="Standard"/>
    <w:link w:val="IntensivesZitatZchn"/>
    <w:uiPriority w:val="30"/>
    <w:qFormat/>
    <w:rsid w:val="00FB2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2EDF"/>
    <w:rPr>
      <w:i/>
      <w:iCs/>
      <w:color w:val="0F4761" w:themeColor="accent1" w:themeShade="BF"/>
    </w:rPr>
  </w:style>
  <w:style w:type="character" w:styleId="IntensiverVerweis">
    <w:name w:val="Intense Reference"/>
    <w:basedOn w:val="Absatz-Standardschriftart"/>
    <w:uiPriority w:val="32"/>
    <w:qFormat/>
    <w:rsid w:val="00FB2E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1262</Characters>
  <Application>Microsoft Office Word</Application>
  <DocSecurity>0</DocSecurity>
  <Lines>28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Krause</dc:creator>
  <cp:keywords/>
  <dc:description/>
  <cp:lastModifiedBy>Rudi Krause</cp:lastModifiedBy>
  <cp:revision>2</cp:revision>
  <dcterms:created xsi:type="dcterms:W3CDTF">2026-06-15T17:53:00Z</dcterms:created>
  <dcterms:modified xsi:type="dcterms:W3CDTF">2026-06-15T17:53:00Z</dcterms:modified>
</cp:coreProperties>
</file>