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59E4" w14:textId="2270FA51" w:rsidR="003500DC" w:rsidRPr="00AD417C" w:rsidRDefault="003500DC" w:rsidP="00350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W. Schlesinger, </w:t>
      </w:r>
      <w:r w:rsidRPr="00AD417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de-DE"/>
          <w14:ligatures w14:val="none"/>
        </w:rPr>
        <w:t>Siedlungsgeschichte Sachsens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, Bd. 1, Köln 1955 ist nicht digital frei im Internet verfügbar. Es existiert kein Digitalisat </w:t>
      </w:r>
    </w:p>
    <w:p w14:paraId="35FC891D" w14:textId="77777777" w:rsidR="003500DC" w:rsidRPr="00AD417C" w:rsidRDefault="003500DC" w:rsidP="00350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Das Werk erschien 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1955 im Böhlau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noBreakHyphen/>
        <w:t>Verlag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14:paraId="3424DDD3" w14:textId="77777777" w:rsidR="003500DC" w:rsidRPr="00AD417C" w:rsidRDefault="003500DC" w:rsidP="00350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Es ist 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urheberrechtlich geschützt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(Schlesinger † 1984 → Schutzfrist bis 2054).</w:t>
      </w:r>
    </w:p>
    <w:p w14:paraId="055EBBA7" w14:textId="77777777" w:rsidR="003500DC" w:rsidRPr="00AD417C" w:rsidRDefault="003500DC" w:rsidP="00350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Der Verlag hat 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keine digitale Neuauflage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bereitgestellt.</w:t>
      </w:r>
    </w:p>
    <w:p w14:paraId="2303B356" w14:textId="2BE65765" w:rsidR="00B370E0" w:rsidRPr="00AD417C" w:rsidRDefault="003500DC" w:rsidP="00B37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Bibliotheken haben es 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nicht digitalisiert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, weil es nicht gemeinfrei ist.</w:t>
      </w:r>
    </w:p>
    <w:p w14:paraId="0A0596E0" w14:textId="1A20C065" w:rsidR="00B370E0" w:rsidRPr="00AD417C" w:rsidRDefault="003500DC" w:rsidP="00B37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Di</w:t>
      </w:r>
      <w:r w:rsidR="00B370E0"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e 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SLUB besitzt mehrere Exemplare im Magazin. Du kannst es dort </w:t>
      </w:r>
      <w:r w:rsidRPr="00AD41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vor Ort 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einsehen.</w:t>
      </w:r>
    </w:p>
    <w:p w14:paraId="16A53EBE" w14:textId="3EB39270" w:rsidR="003500DC" w:rsidRPr="00AD417C" w:rsidRDefault="003500DC" w:rsidP="00B370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Fernleihe</w:t>
      </w:r>
      <w:r w:rsidR="00B370E0"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 </w:t>
      </w:r>
      <w:r w:rsidRPr="00AD417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Über die SLUB kannst du es aus anderen Bibliotheken bestellen, falls das Dresdner Exemplar ausgeliehen oder nicht verfügbar ist.</w:t>
      </w:r>
    </w:p>
    <w:p w14:paraId="5C64C06F" w14:textId="77777777" w:rsidR="003500DC" w:rsidRPr="003500DC" w:rsidRDefault="00E9195D" w:rsidP="003500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0373D662">
          <v:rect id="_x0000_i1025" style="width:0;height:1.5pt" o:hralign="center" o:hrstd="t" o:hr="t" fillcolor="#a0a0a0" stroked="f"/>
        </w:pict>
      </w:r>
    </w:p>
    <w:p w14:paraId="4A21B5D5" w14:textId="0A498F83" w:rsidR="00F934CE" w:rsidRPr="00F934CE" w:rsidRDefault="00B370E0" w:rsidP="00AD4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</w:pPr>
      <w:r w:rsidRPr="00AD41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  <w14:ligatures w14:val="none"/>
        </w:rPr>
        <w:t>Da schwer beschaffbar</w:t>
      </w:r>
      <w:r w:rsidR="00AD417C" w:rsidRPr="00AD41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de-DE"/>
          <w14:ligatures w14:val="none"/>
        </w:rPr>
        <w:t xml:space="preserve"> </w:t>
      </w:r>
      <w:r w:rsidR="00AD417C"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(auf Grundlage von W. Schlesinger, Siedlungsgeschichte Sachsens, Bd. 1, Köln 1955, S. 87–104)</w:t>
      </w:r>
      <w:r w:rsidR="0058766E"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="00F934CE" w:rsidRPr="00F934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  <w:t>hier</w:t>
      </w:r>
      <w:r w:rsidR="0058766E" w:rsidRPr="00F934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  <w:t xml:space="preserve"> ein k</w:t>
      </w:r>
      <w:r w:rsidR="003500DC" w:rsidRPr="00F934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  <w:t>ondensiertes Fazit für d</w:t>
      </w:r>
      <w:r w:rsidR="00AD1DAA" w:rsidRPr="00F934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  <w:t>ie Titibutzien-</w:t>
      </w:r>
      <w:r w:rsidR="003500DC" w:rsidRPr="00F934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  <w:t>Argumentation</w:t>
      </w:r>
      <w:r w:rsidR="0058766E" w:rsidRPr="00F934C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de-DE"/>
          <w14:ligatures w14:val="none"/>
        </w:rPr>
        <w:t>:</w:t>
      </w:r>
    </w:p>
    <w:p w14:paraId="2BD488A1" w14:textId="4EAE2741" w:rsidR="0058766E" w:rsidRPr="00F934CE" w:rsidRDefault="00816422" w:rsidP="00F934CE">
      <w:pPr>
        <w:pStyle w:val="Listenabsatz"/>
        <w:numPr>
          <w:ilvl w:val="0"/>
          <w:numId w:val="2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Der Muldenraum als frühslawische Kernzone</w:t>
      </w:r>
    </w:p>
    <w:p w14:paraId="4C3BE21A" w14:textId="76EC3D26" w:rsidR="00816422" w:rsidRPr="00F934CE" w:rsidRDefault="00816422" w:rsidP="008865B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Schlesinger weist den Raum zwischen Zwickauer und Freiberger Mulde als eine der ältesten und dichtesten slawischen Siedlungskammern Sachsens aus. Die hohe Siedlungsintensität, die bevorzugten Hang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noBreakHyphen/>
        <w:t xml:space="preserve"> und Terrassenlagen sowie die frühe Bevölkerungsdichte bilden den strukturellen Hintergrund, in dem ein Ort wie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plausibel verortet werden kann. Der Bereich um Lastau/Colditz gehört eindeutig zu dieser Kernzone.</w:t>
      </w:r>
    </w:p>
    <w:p w14:paraId="305DDDDC" w14:textId="77777777" w:rsidR="00816422" w:rsidRPr="008865BF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8865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2. </w:t>
      </w:r>
      <w:proofErr w:type="spellStart"/>
      <w:r w:rsidRPr="008865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Burgwardgründungen</w:t>
      </w:r>
      <w:proofErr w:type="spellEnd"/>
      <w:r w:rsidRPr="008865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in bestehenden slawischen Zentralräumen</w:t>
      </w:r>
    </w:p>
    <w:p w14:paraId="1C15064F" w14:textId="77777777" w:rsidR="00816422" w:rsidRPr="00F934C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Nach Schlesinger entstehen Burgwarde nicht zufällig, sondern werden gezielt in bereits strukturierten slawischen Räumen angelegt. Sie überformen ältere Zentralorte oder deren unmittelbare Umgebung. Damit ist die Annahme eines </w:t>
      </w:r>
      <w:proofErr w:type="spellStart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vorburgwardzeitlichen</w:t>
      </w:r>
      <w:proofErr w:type="spellEnd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slawischen Zentralortes im Raum Lastau – wie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– nicht nur möglich, sondern systematisch wahrscheinlich.</w:t>
      </w:r>
    </w:p>
    <w:p w14:paraId="6D9FBFD1" w14:textId="77777777" w:rsidR="00816422" w:rsidRPr="0058766E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3. Der Burgward Colditz als frühes </w:t>
      </w:r>
      <w:proofErr w:type="spellStart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Herrschafts</w:t>
      </w:r>
      <w:proofErr w:type="spellEnd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noBreakHyphen/>
        <w:t xml:space="preserve"> und Missionszentrum</w:t>
      </w:r>
    </w:p>
    <w:p w14:paraId="248E9AD5" w14:textId="0A47B5F7" w:rsidR="00816422" w:rsidRPr="00F934C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Schlesinger zählt Colditz zu den klassischen frühmittelalterlichen </w:t>
      </w:r>
      <w:proofErr w:type="spellStart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Burgwardzentren</w:t>
      </w:r>
      <w:proofErr w:type="spellEnd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im </w:t>
      </w:r>
      <w:r w:rsidR="0058766E"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Daleminzier Gebiet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. Seine Lage an einem </w:t>
      </w:r>
      <w:r w:rsidR="0058766E"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Mulde Übergang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und seine frühe kirchliche Funktion machen deutlich, dass der Burgward Colditz einen älteren slawischen Siedlungsraum übernahm. Ein slawischer Zentralort im unmittelbaren Umfeld – wie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– fügt sich nahtlos in dieses Modell ein.</w:t>
      </w:r>
    </w:p>
    <w:p w14:paraId="0DD6920F" w14:textId="77777777" w:rsidR="00816422" w:rsidRPr="0058766E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lastRenderedPageBreak/>
        <w:t xml:space="preserve">4. </w:t>
      </w:r>
      <w:proofErr w:type="spellStart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Burgwardkirchen</w:t>
      </w:r>
      <w:proofErr w:type="spellEnd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als Nachfolger älterer Kult</w:t>
      </w: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noBreakHyphen/>
        <w:t xml:space="preserve"> und Zentralorte</w:t>
      </w:r>
    </w:p>
    <w:p w14:paraId="7BADF128" w14:textId="77777777" w:rsidR="00816422" w:rsidRPr="00F934C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Die </w:t>
      </w:r>
      <w:proofErr w:type="spellStart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Burgwardkirche</w:t>
      </w:r>
      <w:proofErr w:type="spellEnd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fungiert nach Schlesinger als Taufkirche, Missionszentrum und kirchlicher Mittelpunkt. Sie ersetzt häufig ältere slawische Kult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noBreakHyphen/>
        <w:t xml:space="preserve"> oder Zentralorte. Die frühe kirchliche Organisation in Colditz spricht daher für die Existenz eines älteren, bedeutenden slawischen Ortes im näheren Umfeld, der durch die </w:t>
      </w:r>
      <w:proofErr w:type="spellStart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Burgwardkirche</w:t>
      </w:r>
      <w:proofErr w:type="spellEnd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überlagert wurde.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erfüllt diese strukturelle Rolle.</w:t>
      </w:r>
    </w:p>
    <w:p w14:paraId="5B099613" w14:textId="77777777" w:rsidR="00816422" w:rsidRPr="0058766E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5. Der Ortsname </w:t>
      </w:r>
      <w:r w:rsidRPr="0058766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de-DE"/>
          <w14:ligatures w14:val="none"/>
        </w:rPr>
        <w:t>Titibutzien</w:t>
      </w: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als Vertreter der ältesten slawischen Namensschicht</w:t>
      </w:r>
    </w:p>
    <w:p w14:paraId="19CF2B33" w14:textId="77777777" w:rsidR="00816422" w:rsidRPr="0058766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Schlesinger ordnet Ortsnamen mit den Endungen </w:t>
      </w:r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noBreakHyphen/>
        <w:t xml:space="preserve">in / </w:t>
      </w:r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noBreakHyphen/>
        <w:t xml:space="preserve">en / </w:t>
      </w:r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noBreakHyphen/>
      </w:r>
      <w:proofErr w:type="spellStart"/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ien</w:t>
      </w:r>
      <w:proofErr w:type="spellEnd"/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der ältesten slawischen Namensschicht zu. Diese Namen sind vorfränkisch und damit älter als die </w:t>
      </w:r>
      <w:proofErr w:type="spellStart"/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Burgwardorganisation</w:t>
      </w:r>
      <w:proofErr w:type="spellEnd"/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Der Name </w:t>
      </w:r>
      <w:r w:rsidRPr="0058766E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Titibutzien</w:t>
      </w:r>
      <w:r w:rsidRPr="0058766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gehört eindeutig in diese Kategorie. Seine frühe Erwähnung bei Thietmar und seine morphologische Struktur sprechen für eine Entstehung im 8./9. Jahrhundert.</w:t>
      </w:r>
    </w:p>
    <w:p w14:paraId="3BB90444" w14:textId="77777777" w:rsidR="00816422" w:rsidRPr="008865BF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8865B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6. Topographische Lagekriterien slawischer Siedlungen</w:t>
      </w:r>
    </w:p>
    <w:p w14:paraId="43E57C25" w14:textId="77777777" w:rsidR="00816422" w:rsidRPr="00F934C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Schlesinger beschreibt die bevorzugte Lage slawischer Siedlungen an Hangkanten, Terrassen und Übergängen zwischen Hochfläche und Tal. Der Raum Lastau/Teitzig entspricht exakt diesen Kriterien: Hanglage über der Mulde, Terrassenkante, strategische Sichtbeziehungen. Die topographische Passung ist vollständig gegeben.</w:t>
      </w:r>
    </w:p>
    <w:p w14:paraId="55D8704E" w14:textId="77777777" w:rsidR="00816422" w:rsidRPr="0058766E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7. Verschwinden kleinerer slawischer Orte im </w:t>
      </w:r>
      <w:proofErr w:type="spellStart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Burgwardraum</w:t>
      </w:r>
      <w:proofErr w:type="spellEnd"/>
    </w:p>
    <w:p w14:paraId="6B594A82" w14:textId="77777777" w:rsidR="00816422" w:rsidRPr="00AD1DAA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D1DA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Schlesinger betont, dass kleinere slawische Siedlungen besonders dort </w:t>
      </w:r>
      <w:r w:rsidRPr="00AD1DA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spurlos verschwinden</w:t>
      </w:r>
      <w:r w:rsidRPr="00AD1DA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wo später Burgwarde die Zentralfunktion übernehmen. Die Überlagerung durch kirchliche und herrschaftliche Strukturen führt zum Verlust älterer Ortsnamen. Das Fehlen späterer urkundlicher Belege für </w:t>
      </w:r>
      <w:r w:rsidRPr="00AD1DA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Titibutzien</w:t>
      </w:r>
      <w:r w:rsidRPr="00AD1DA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ist daher </w:t>
      </w:r>
      <w:r w:rsidRPr="00AD1DA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 Gegenargument</w:t>
      </w:r>
      <w:r w:rsidRPr="00AD1DA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sondern entspricht genau dem von Schlesinger beschriebenen Prozess.</w:t>
      </w:r>
    </w:p>
    <w:p w14:paraId="5B8C45D3" w14:textId="77777777" w:rsidR="00816422" w:rsidRPr="0058766E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8. </w:t>
      </w:r>
      <w:proofErr w:type="spellStart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Burgwardgrenzen</w:t>
      </w:r>
      <w:proofErr w:type="spellEnd"/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folgen älteren slawischen Siedlungsclustern</w:t>
      </w:r>
    </w:p>
    <w:p w14:paraId="2F5F9F5F" w14:textId="77777777" w:rsidR="00816422" w:rsidRPr="00F934C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Die von Schlesinger rekonstruierte Struktur zeigt, dass </w:t>
      </w:r>
      <w:proofErr w:type="spellStart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Burgwardgrenzen</w:t>
      </w:r>
      <w:proofErr w:type="spellEnd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bestehenden slawischen Siedlungszusammenhängen folgen. Der Raum Lastau – Teitzig – Zschadraß – Colditz bildet ein solches Cluster. Die Einordnung eines slawischen Zentralortes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in dieses Cluster ist historisch und siedlungsgeographisch folgerichtig.</w:t>
      </w:r>
    </w:p>
    <w:p w14:paraId="0271D2B0" w14:textId="77777777" w:rsidR="00816422" w:rsidRPr="0058766E" w:rsidRDefault="00816422" w:rsidP="008164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876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9. Der Verlust des Namens im 11./12. Jahrhundert</w:t>
      </w:r>
    </w:p>
    <w:p w14:paraId="645AD645" w14:textId="19D448BD" w:rsidR="00816422" w:rsidRPr="00F934CE" w:rsidRDefault="00816422" w:rsidP="00F9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Mit dem Übergang vom Burgward zur hochmittelalterlichen Grundherrschaft verschwinden zahlreiche slawische Ortsnamen. Schlesinger beschreibt diesen Prozess als strukturell bedingt und flächendeckend. Der Name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kann daher im Zuge der Neuorganisation des 11./12. Jahrhunderts vollständig 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lastRenderedPageBreak/>
        <w:t>untergegangen sein. Die Einmalüberlieferung bei Thietmar ist damit erklärbar und kein Indiz gegen die Existenz des Ortes.</w:t>
      </w:r>
    </w:p>
    <w:p w14:paraId="0BDAFF51" w14:textId="62B78331" w:rsidR="00816422" w:rsidRPr="0058766E" w:rsidRDefault="00F934CE" w:rsidP="00F934CE">
      <w:pPr>
        <w:tabs>
          <w:tab w:val="left" w:pos="366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  </w:t>
      </w:r>
      <w:r w:rsidR="00816422" w:rsidRPr="005876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Gesamtfazit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ab/>
      </w:r>
    </w:p>
    <w:p w14:paraId="6D7E29EE" w14:textId="1DB77785" w:rsidR="003500DC" w:rsidRPr="00F934CE" w:rsidRDefault="00816422" w:rsidP="0081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Aus Schlesingers Analyse der frühmittelalterlichen </w:t>
      </w:r>
      <w:proofErr w:type="spellStart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Siedlungs</w:t>
      </w:r>
      <w:proofErr w:type="spellEnd"/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noBreakHyphen/>
        <w:t xml:space="preserve"> und Herrschaftsstrukturen ergibt sich ein kohärentes, wissenschaftlich belastbares Argumentationsgerüst, das die Lokalisierung eines slawischen Zentralortes </w:t>
      </w:r>
      <w:r w:rsidRPr="00F934C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Titibutzien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im Raum Lastau/Teitzig nicht nur zulässt, sondern systematisch stützt.</w:t>
      </w:r>
      <w:r w:rsidRPr="00F934C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  <w:t>Die siedlungsgeographischen, namenkundlichen, topographischen und herrschaftsgeschichtlichen Befunde Schlesingers sprechen geschlossen für die Plausibilität dieser Lokalisierung.</w:t>
      </w:r>
    </w:p>
    <w:sectPr w:rsidR="003500DC" w:rsidRPr="00F934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45B"/>
    <w:multiLevelType w:val="multilevel"/>
    <w:tmpl w:val="18CE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71AFE"/>
    <w:multiLevelType w:val="multilevel"/>
    <w:tmpl w:val="5BB4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2841"/>
    <w:multiLevelType w:val="multilevel"/>
    <w:tmpl w:val="1352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537E3"/>
    <w:multiLevelType w:val="multilevel"/>
    <w:tmpl w:val="56D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557F5"/>
    <w:multiLevelType w:val="multilevel"/>
    <w:tmpl w:val="3FA6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E4985"/>
    <w:multiLevelType w:val="multilevel"/>
    <w:tmpl w:val="4C6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81A81"/>
    <w:multiLevelType w:val="multilevel"/>
    <w:tmpl w:val="04A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72C9B"/>
    <w:multiLevelType w:val="hybridMultilevel"/>
    <w:tmpl w:val="522CE3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B5433"/>
    <w:multiLevelType w:val="multilevel"/>
    <w:tmpl w:val="03F4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E52F5"/>
    <w:multiLevelType w:val="multilevel"/>
    <w:tmpl w:val="777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558FD"/>
    <w:multiLevelType w:val="hybridMultilevel"/>
    <w:tmpl w:val="7C401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15E2F"/>
    <w:multiLevelType w:val="multilevel"/>
    <w:tmpl w:val="10BE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216CE"/>
    <w:multiLevelType w:val="multilevel"/>
    <w:tmpl w:val="179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B5CD6"/>
    <w:multiLevelType w:val="multilevel"/>
    <w:tmpl w:val="6FD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71D81"/>
    <w:multiLevelType w:val="multilevel"/>
    <w:tmpl w:val="1BA4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22862"/>
    <w:multiLevelType w:val="multilevel"/>
    <w:tmpl w:val="BE6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344BC"/>
    <w:multiLevelType w:val="multilevel"/>
    <w:tmpl w:val="5470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86473"/>
    <w:multiLevelType w:val="multilevel"/>
    <w:tmpl w:val="BBCA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E069C"/>
    <w:multiLevelType w:val="multilevel"/>
    <w:tmpl w:val="718C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E122D"/>
    <w:multiLevelType w:val="multilevel"/>
    <w:tmpl w:val="0B76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24800"/>
    <w:multiLevelType w:val="multilevel"/>
    <w:tmpl w:val="C10E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957CAF"/>
    <w:multiLevelType w:val="multilevel"/>
    <w:tmpl w:val="353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A46043"/>
    <w:multiLevelType w:val="multilevel"/>
    <w:tmpl w:val="850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77596"/>
    <w:multiLevelType w:val="multilevel"/>
    <w:tmpl w:val="79A4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67FDB"/>
    <w:multiLevelType w:val="multilevel"/>
    <w:tmpl w:val="942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A5988"/>
    <w:multiLevelType w:val="multilevel"/>
    <w:tmpl w:val="2134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83E6C"/>
    <w:multiLevelType w:val="multilevel"/>
    <w:tmpl w:val="D4A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4783">
    <w:abstractNumId w:val="24"/>
  </w:num>
  <w:num w:numId="2" w16cid:durableId="2049261887">
    <w:abstractNumId w:val="6"/>
  </w:num>
  <w:num w:numId="3" w16cid:durableId="1755935050">
    <w:abstractNumId w:val="3"/>
  </w:num>
  <w:num w:numId="4" w16cid:durableId="1751808123">
    <w:abstractNumId w:val="20"/>
  </w:num>
  <w:num w:numId="5" w16cid:durableId="1751460892">
    <w:abstractNumId w:val="18"/>
  </w:num>
  <w:num w:numId="6" w16cid:durableId="422340023">
    <w:abstractNumId w:val="19"/>
  </w:num>
  <w:num w:numId="7" w16cid:durableId="204410833">
    <w:abstractNumId w:val="25"/>
  </w:num>
  <w:num w:numId="8" w16cid:durableId="1832017328">
    <w:abstractNumId w:val="23"/>
  </w:num>
  <w:num w:numId="9" w16cid:durableId="2143766946">
    <w:abstractNumId w:val="0"/>
  </w:num>
  <w:num w:numId="10" w16cid:durableId="1043678022">
    <w:abstractNumId w:val="2"/>
  </w:num>
  <w:num w:numId="11" w16cid:durableId="1483816395">
    <w:abstractNumId w:val="8"/>
  </w:num>
  <w:num w:numId="12" w16cid:durableId="1027759912">
    <w:abstractNumId w:val="17"/>
  </w:num>
  <w:num w:numId="13" w16cid:durableId="1721974904">
    <w:abstractNumId w:val="14"/>
  </w:num>
  <w:num w:numId="14" w16cid:durableId="276571451">
    <w:abstractNumId w:val="11"/>
  </w:num>
  <w:num w:numId="15" w16cid:durableId="267391564">
    <w:abstractNumId w:val="5"/>
  </w:num>
  <w:num w:numId="16" w16cid:durableId="1698500588">
    <w:abstractNumId w:val="9"/>
  </w:num>
  <w:num w:numId="17" w16cid:durableId="341512524">
    <w:abstractNumId w:val="4"/>
  </w:num>
  <w:num w:numId="18" w16cid:durableId="1145273800">
    <w:abstractNumId w:val="15"/>
  </w:num>
  <w:num w:numId="19" w16cid:durableId="1691180538">
    <w:abstractNumId w:val="12"/>
  </w:num>
  <w:num w:numId="20" w16cid:durableId="1061562263">
    <w:abstractNumId w:val="1"/>
  </w:num>
  <w:num w:numId="21" w16cid:durableId="1091118571">
    <w:abstractNumId w:val="26"/>
  </w:num>
  <w:num w:numId="22" w16cid:durableId="693926232">
    <w:abstractNumId w:val="16"/>
  </w:num>
  <w:num w:numId="23" w16cid:durableId="1426144789">
    <w:abstractNumId w:val="21"/>
  </w:num>
  <w:num w:numId="24" w16cid:durableId="1685398337">
    <w:abstractNumId w:val="22"/>
  </w:num>
  <w:num w:numId="25" w16cid:durableId="863177477">
    <w:abstractNumId w:val="13"/>
  </w:num>
  <w:num w:numId="26" w16cid:durableId="488398585">
    <w:abstractNumId w:val="10"/>
  </w:num>
  <w:num w:numId="27" w16cid:durableId="650452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DC"/>
    <w:rsid w:val="00192A54"/>
    <w:rsid w:val="00313A56"/>
    <w:rsid w:val="003500DC"/>
    <w:rsid w:val="00395ECB"/>
    <w:rsid w:val="003B7B04"/>
    <w:rsid w:val="0058766E"/>
    <w:rsid w:val="00816422"/>
    <w:rsid w:val="008865BF"/>
    <w:rsid w:val="00AD1DAA"/>
    <w:rsid w:val="00AD417C"/>
    <w:rsid w:val="00B370E0"/>
    <w:rsid w:val="00F9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B34C"/>
  <w15:chartTrackingRefBased/>
  <w15:docId w15:val="{59C0A6FB-5D31-4161-9E4F-4DC2F962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0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0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0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0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0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00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00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0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00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00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00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00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00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00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00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0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4586</Characters>
  <Application>Microsoft Office Word</Application>
  <DocSecurity>0</DocSecurity>
  <Lines>101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2</cp:revision>
  <dcterms:created xsi:type="dcterms:W3CDTF">2026-06-15T10:28:00Z</dcterms:created>
  <dcterms:modified xsi:type="dcterms:W3CDTF">2026-06-15T10:28:00Z</dcterms:modified>
</cp:coreProperties>
</file>