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698D" w14:textId="16ADAB56" w:rsidR="008F6500" w:rsidRPr="008F6500" w:rsidRDefault="004B13E3" w:rsidP="008F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8F6500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Karl-Heinz Spieß (Hrsg.): </w:t>
      </w:r>
      <w:r w:rsidRPr="008F6500">
        <w:rPr>
          <w:rFonts w:ascii="Times New Roman" w:eastAsia="Times New Roman" w:hAnsi="Times New Roman" w:cs="Times New Roman"/>
          <w:b/>
          <w:bCs/>
          <w:i/>
          <w:iCs/>
          <w:kern w:val="0"/>
          <w:lang w:eastAsia="de-DE"/>
          <w14:ligatures w14:val="none"/>
        </w:rPr>
        <w:t>Mittelalterliche Sozialstrukturen</w:t>
      </w:r>
      <w:r w:rsidRPr="008F6500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. Berlin: Akademie</w:t>
      </w:r>
      <w:r w:rsidRPr="008F6500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noBreakHyphen/>
        <w:t>Verlag 1982.</w:t>
      </w:r>
      <w:r w:rsidR="008F6500" w:rsidRPr="008F6500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Ein direkter Online</w:t>
      </w:r>
      <w:r w:rsidR="008F6500" w:rsidRPr="008F6500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noBreakHyphen/>
        <w:t xml:space="preserve">Link existiert </w:t>
      </w:r>
      <w:r w:rsidR="008F6500" w:rsidRPr="008F6500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nicht</w:t>
      </w:r>
      <w:r w:rsidR="008F6500" w:rsidRPr="008F6500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weil es sich um ein älteres, nicht digitalisiertes Standardwerk handelt. Das Buch ist ein Sammelband mit mehreren grundlegenden Beiträgen zur Sozialgeschichte des Mittelalters. Die Seiten </w:t>
      </w:r>
      <w:r w:rsidR="008F6500" w:rsidRPr="008F6500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15–22</w:t>
      </w:r>
      <w:r w:rsidR="008F6500" w:rsidRPr="008F6500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gehören darin zu einem der frühen Kapitel (häufig ein Überblicks- oder Strukturkapitel).</w:t>
      </w:r>
    </w:p>
    <w:p w14:paraId="45753EE9" w14:textId="43DB0737" w:rsidR="004326FD" w:rsidRPr="004326FD" w:rsidRDefault="004326FD" w:rsidP="0043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Hier ist eine 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fußnotenfertige, präzise Kurzfassung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für titibutzien.de, die sich nahtlos in d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ie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bestehende Interdisziplinär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noBreakHyphen/>
        <w:t>Seite einfügt</w:t>
      </w:r>
    </w:p>
    <w:p w14:paraId="3DFB44F0" w14:textId="77777777" w:rsidR="004326FD" w:rsidRPr="004326FD" w:rsidRDefault="00000000" w:rsidP="00432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327E34AA">
          <v:rect id="_x0000_i1025" style="width:0;height:1.5pt" o:hralign="center" o:hrstd="t" o:hr="t" fillcolor="#a0a0a0" stroked="f"/>
        </w:pict>
      </w:r>
    </w:p>
    <w:p w14:paraId="6B909249" w14:textId="4BB80AF4" w:rsidR="004326FD" w:rsidRPr="004B13E3" w:rsidRDefault="004326FD" w:rsidP="00432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  <w14:ligatures w14:val="none"/>
        </w:rPr>
      </w:pPr>
      <w:r w:rsidRPr="004B13E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  <w14:ligatures w14:val="none"/>
        </w:rPr>
        <w:t>Kurzfassung für titibutzien.de</w:t>
      </w:r>
    </w:p>
    <w:p w14:paraId="2448F853" w14:textId="77777777" w:rsidR="004326FD" w:rsidRPr="004326FD" w:rsidRDefault="004326FD" w:rsidP="0043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Die mittelalterliche Gesellschaft war kein abstraktes, institutionell organisiertes System, sondern ein 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personengebundenes Gefüge von </w:t>
      </w:r>
      <w:proofErr w:type="spellStart"/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Herrschafts</w:t>
      </w:r>
      <w:proofErr w:type="spellEnd"/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noBreakHyphen/>
        <w:t xml:space="preserve"> und Abhängigkeitsbeziehungen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 Ihre Grundstruktur beruhte auf 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ständischen Normen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die weniger reale soziale Gruppen als vielmehr 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ideologische Ordnungsmuster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darstellten. Entscheidend für die soziale Position war nicht ökonomischer Besitz allein, sondern die 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Einbindung in personale Bindungen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wie Gefolgschaft, Lehnswesen und Grundherrschaft.</w:t>
      </w:r>
    </w:p>
    <w:p w14:paraId="1E6B6118" w14:textId="77777777" w:rsidR="004326FD" w:rsidRPr="004326FD" w:rsidRDefault="004326FD" w:rsidP="0043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Die 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Grundherrschaft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bildete dabei das zentrale Organisationsprinzip: Sie verband wirtschaftliche Nutzung, rechtliche Abhängigkeit und soziale Ordnung in einem einzigen System. Bauern standen in unterschiedlichen Graden der Bindung – von Zinsbauern bis zu Hörigen –, während Adel und Klerus als 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Funktionseliten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militärische, administrative und geistliche Aufgaben wahrnahmen.</w:t>
      </w:r>
    </w:p>
    <w:p w14:paraId="66B20C9D" w14:textId="45BD07DC" w:rsidR="004326FD" w:rsidRPr="004326FD" w:rsidRDefault="004326FD" w:rsidP="00432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Soziale Mobilität war möglich, blieb jedoch 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individuell und strukturell begrenzt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 Moderne Begriffe wie „Klasse“ oder „Staat“ greifen deshalb nur eingeschränkt, da mittelalterliche Gesellschaft nicht durch abstrakte Institutionen, sondern durch </w:t>
      </w:r>
      <w:r w:rsidR="004B13E3"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Privilegien gebundene</w:t>
      </w:r>
      <w:r w:rsidRPr="004326F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Rechte und personale Herrschaft</w:t>
      </w:r>
      <w:r w:rsidRPr="004326F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geprägt war.</w:t>
      </w:r>
    </w:p>
    <w:p w14:paraId="579AD320" w14:textId="6E890A61" w:rsidR="004326FD" w:rsidRPr="004326FD" w:rsidRDefault="004326FD" w:rsidP="004326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723EE33C" w14:textId="77777777" w:rsidR="008F6500" w:rsidRPr="008F6500" w:rsidRDefault="008F6500" w:rsidP="008F6500">
      <w:pPr>
        <w:rPr>
          <w:sz w:val="36"/>
          <w:szCs w:val="36"/>
        </w:rPr>
      </w:pPr>
    </w:p>
    <w:sectPr w:rsidR="008F6500" w:rsidRPr="008F65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4CAB"/>
    <w:multiLevelType w:val="multilevel"/>
    <w:tmpl w:val="091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44A9D"/>
    <w:multiLevelType w:val="multilevel"/>
    <w:tmpl w:val="5D88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65CC7"/>
    <w:multiLevelType w:val="multilevel"/>
    <w:tmpl w:val="236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B2036"/>
    <w:multiLevelType w:val="multilevel"/>
    <w:tmpl w:val="EAE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B33C5"/>
    <w:multiLevelType w:val="multilevel"/>
    <w:tmpl w:val="9B6A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22A79"/>
    <w:multiLevelType w:val="multilevel"/>
    <w:tmpl w:val="4FE4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01B77"/>
    <w:multiLevelType w:val="multilevel"/>
    <w:tmpl w:val="BBF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44186"/>
    <w:multiLevelType w:val="multilevel"/>
    <w:tmpl w:val="EF8E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31DBB"/>
    <w:multiLevelType w:val="multilevel"/>
    <w:tmpl w:val="995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B3017"/>
    <w:multiLevelType w:val="multilevel"/>
    <w:tmpl w:val="43F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67C5B"/>
    <w:multiLevelType w:val="multilevel"/>
    <w:tmpl w:val="149E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717981">
    <w:abstractNumId w:val="2"/>
  </w:num>
  <w:num w:numId="2" w16cid:durableId="735779639">
    <w:abstractNumId w:val="0"/>
  </w:num>
  <w:num w:numId="3" w16cid:durableId="1915897795">
    <w:abstractNumId w:val="3"/>
  </w:num>
  <w:num w:numId="4" w16cid:durableId="1154101739">
    <w:abstractNumId w:val="8"/>
  </w:num>
  <w:num w:numId="5" w16cid:durableId="1987053102">
    <w:abstractNumId w:val="7"/>
  </w:num>
  <w:num w:numId="6" w16cid:durableId="893811263">
    <w:abstractNumId w:val="6"/>
  </w:num>
  <w:num w:numId="7" w16cid:durableId="55471429">
    <w:abstractNumId w:val="1"/>
  </w:num>
  <w:num w:numId="8" w16cid:durableId="1648049234">
    <w:abstractNumId w:val="5"/>
  </w:num>
  <w:num w:numId="9" w16cid:durableId="2123256379">
    <w:abstractNumId w:val="4"/>
  </w:num>
  <w:num w:numId="10" w16cid:durableId="2059476076">
    <w:abstractNumId w:val="10"/>
  </w:num>
  <w:num w:numId="11" w16cid:durableId="1199470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00"/>
    <w:rsid w:val="004326FD"/>
    <w:rsid w:val="004B13E3"/>
    <w:rsid w:val="008F6500"/>
    <w:rsid w:val="00B2035B"/>
    <w:rsid w:val="00B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A4C4"/>
  <w15:chartTrackingRefBased/>
  <w15:docId w15:val="{7FCC14BA-7ABD-4DBF-BED2-BEA2D7CE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6500"/>
  </w:style>
  <w:style w:type="paragraph" w:styleId="berschrift1">
    <w:name w:val="heading 1"/>
    <w:basedOn w:val="Standard"/>
    <w:next w:val="Standard"/>
    <w:link w:val="berschrift1Zchn"/>
    <w:uiPriority w:val="9"/>
    <w:qFormat/>
    <w:rsid w:val="008F6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6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6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6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6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6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6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6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6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6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6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65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65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65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65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65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65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6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6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65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65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65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6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65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6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1553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2</cp:revision>
  <dcterms:created xsi:type="dcterms:W3CDTF">2026-06-15T08:42:00Z</dcterms:created>
  <dcterms:modified xsi:type="dcterms:W3CDTF">2026-06-15T08:42:00Z</dcterms:modified>
</cp:coreProperties>
</file>