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3529E" w14:textId="77777777" w:rsidR="0034799B" w:rsidRDefault="00472EB5" w:rsidP="0034799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472EB5">
        <w:rPr>
          <w:rFonts w:ascii="Times New Roman" w:eastAsia="Times New Roman" w:hAnsi="Times New Roman" w:cs="Times New Roman"/>
          <w:i/>
          <w:iCs/>
          <w:kern w:val="0"/>
          <w:sz w:val="28"/>
          <w:szCs w:val="28"/>
          <w:lang w:eastAsia="de-DE"/>
          <w14:ligatures w14:val="none"/>
        </w:rPr>
        <w:t xml:space="preserve">H. L. Möller, </w:t>
      </w:r>
      <w:r w:rsidRPr="00472EB5">
        <w:rPr>
          <w:rFonts w:ascii="Times New Roman" w:eastAsia="Times New Roman" w:hAnsi="Times New Roman" w:cs="Times New Roman"/>
          <w:b/>
          <w:bCs/>
          <w:i/>
          <w:iCs/>
          <w:kern w:val="0"/>
          <w:sz w:val="28"/>
          <w:szCs w:val="28"/>
          <w:lang w:eastAsia="de-DE"/>
          <w14:ligatures w14:val="none"/>
        </w:rPr>
        <w:t>Kirchspiel und Siedlungsraum im Mittelalter</w:t>
      </w:r>
      <w:r w:rsidRPr="00472EB5">
        <w:rPr>
          <w:rFonts w:ascii="Times New Roman" w:eastAsia="Times New Roman" w:hAnsi="Times New Roman" w:cs="Times New Roman"/>
          <w:i/>
          <w:iCs/>
          <w:kern w:val="0"/>
          <w:sz w:val="28"/>
          <w:szCs w:val="28"/>
          <w:lang w:eastAsia="de-DE"/>
          <w14:ligatures w14:val="none"/>
        </w:rPr>
        <w:t xml:space="preserve"> (Göttingen 1968)</w:t>
      </w:r>
      <w:r w:rsidRPr="00472EB5">
        <w:rPr>
          <w:rFonts w:ascii="Times New Roman" w:eastAsia="Times New Roman" w:hAnsi="Times New Roman" w:cs="Times New Roman"/>
          <w:kern w:val="0"/>
          <w:sz w:val="28"/>
          <w:szCs w:val="28"/>
          <w:lang w:eastAsia="de-DE"/>
          <w14:ligatures w14:val="none"/>
        </w:rPr>
        <w:t xml:space="preserve"> ist </w:t>
      </w:r>
      <w:r w:rsidRPr="00472EB5">
        <w:rPr>
          <w:rFonts w:ascii="Times New Roman" w:eastAsia="Times New Roman" w:hAnsi="Times New Roman" w:cs="Times New Roman"/>
          <w:b/>
          <w:bCs/>
          <w:kern w:val="0"/>
          <w:sz w:val="28"/>
          <w:szCs w:val="28"/>
          <w:lang w:eastAsia="de-DE"/>
          <w14:ligatures w14:val="none"/>
        </w:rPr>
        <w:t>nicht digitalisiert</w:t>
      </w:r>
      <w:r w:rsidRPr="00472EB5">
        <w:rPr>
          <w:rFonts w:ascii="Times New Roman" w:eastAsia="Times New Roman" w:hAnsi="Times New Roman" w:cs="Times New Roman"/>
          <w:kern w:val="0"/>
          <w:sz w:val="28"/>
          <w:szCs w:val="28"/>
          <w:lang w:eastAsia="de-DE"/>
          <w14:ligatures w14:val="none"/>
        </w:rPr>
        <w:t xml:space="preserve">. Es existiert </w:t>
      </w:r>
      <w:r w:rsidRPr="00472EB5">
        <w:rPr>
          <w:rFonts w:ascii="Times New Roman" w:eastAsia="Times New Roman" w:hAnsi="Times New Roman" w:cs="Times New Roman"/>
          <w:b/>
          <w:bCs/>
          <w:kern w:val="0"/>
          <w:sz w:val="28"/>
          <w:szCs w:val="28"/>
          <w:lang w:eastAsia="de-DE"/>
          <w14:ligatures w14:val="none"/>
        </w:rPr>
        <w:t>kein Online</w:t>
      </w:r>
      <w:r w:rsidRPr="00472EB5">
        <w:rPr>
          <w:rFonts w:ascii="Times New Roman" w:eastAsia="Times New Roman" w:hAnsi="Times New Roman" w:cs="Times New Roman"/>
          <w:b/>
          <w:bCs/>
          <w:kern w:val="0"/>
          <w:sz w:val="28"/>
          <w:szCs w:val="28"/>
          <w:lang w:eastAsia="de-DE"/>
          <w14:ligatures w14:val="none"/>
        </w:rPr>
        <w:noBreakHyphen/>
        <w:t>Link</w:t>
      </w:r>
      <w:r w:rsidRPr="00472EB5">
        <w:rPr>
          <w:rFonts w:ascii="Times New Roman" w:eastAsia="Times New Roman" w:hAnsi="Times New Roman" w:cs="Times New Roman"/>
          <w:kern w:val="0"/>
          <w:sz w:val="28"/>
          <w:szCs w:val="28"/>
          <w:lang w:eastAsia="de-DE"/>
          <w14:ligatures w14:val="none"/>
        </w:rPr>
        <w:t xml:space="preserve">, weder im GDZ noch im ZVDD oder in anderen Digitalbibliotheken. Ein Zugriff ist nur über </w:t>
      </w:r>
      <w:r w:rsidRPr="00472EB5">
        <w:rPr>
          <w:rFonts w:ascii="Times New Roman" w:eastAsia="Times New Roman" w:hAnsi="Times New Roman" w:cs="Times New Roman"/>
          <w:b/>
          <w:bCs/>
          <w:kern w:val="0"/>
          <w:sz w:val="28"/>
          <w:szCs w:val="28"/>
          <w:lang w:eastAsia="de-DE"/>
          <w14:ligatures w14:val="none"/>
        </w:rPr>
        <w:t>gedruckte Exemplare</w:t>
      </w:r>
      <w:r w:rsidRPr="00472EB5">
        <w:rPr>
          <w:rFonts w:ascii="Times New Roman" w:eastAsia="Times New Roman" w:hAnsi="Times New Roman" w:cs="Times New Roman"/>
          <w:kern w:val="0"/>
          <w:sz w:val="28"/>
          <w:szCs w:val="28"/>
          <w:lang w:eastAsia="de-DE"/>
          <w14:ligatures w14:val="none"/>
        </w:rPr>
        <w:t xml:space="preserve"> (z. B. SUB Göttingen, UB Leipzig) oder über eine </w:t>
      </w:r>
      <w:r w:rsidRPr="00472EB5">
        <w:rPr>
          <w:rFonts w:ascii="Times New Roman" w:eastAsia="Times New Roman" w:hAnsi="Times New Roman" w:cs="Times New Roman"/>
          <w:b/>
          <w:bCs/>
          <w:kern w:val="0"/>
          <w:sz w:val="28"/>
          <w:szCs w:val="28"/>
          <w:lang w:eastAsia="de-DE"/>
          <w14:ligatures w14:val="none"/>
        </w:rPr>
        <w:t>kostenpflichtige Digitalisierung (</w:t>
      </w:r>
      <w:proofErr w:type="spellStart"/>
      <w:r w:rsidRPr="00472EB5">
        <w:rPr>
          <w:rFonts w:ascii="Times New Roman" w:eastAsia="Times New Roman" w:hAnsi="Times New Roman" w:cs="Times New Roman"/>
          <w:b/>
          <w:bCs/>
          <w:kern w:val="0"/>
          <w:sz w:val="28"/>
          <w:szCs w:val="28"/>
          <w:lang w:eastAsia="de-DE"/>
          <w14:ligatures w14:val="none"/>
        </w:rPr>
        <w:t>DigiWunschbuch</w:t>
      </w:r>
      <w:proofErr w:type="spellEnd"/>
      <w:r w:rsidRPr="00472EB5">
        <w:rPr>
          <w:rFonts w:ascii="Times New Roman" w:eastAsia="Times New Roman" w:hAnsi="Times New Roman" w:cs="Times New Roman"/>
          <w:b/>
          <w:bCs/>
          <w:kern w:val="0"/>
          <w:sz w:val="28"/>
          <w:szCs w:val="28"/>
          <w:lang w:eastAsia="de-DE"/>
          <w14:ligatures w14:val="none"/>
        </w:rPr>
        <w:t>)</w:t>
      </w:r>
      <w:r w:rsidRPr="00472EB5">
        <w:rPr>
          <w:rFonts w:ascii="Times New Roman" w:eastAsia="Times New Roman" w:hAnsi="Times New Roman" w:cs="Times New Roman"/>
          <w:kern w:val="0"/>
          <w:sz w:val="28"/>
          <w:szCs w:val="28"/>
          <w:lang w:eastAsia="de-DE"/>
          <w14:ligatures w14:val="none"/>
        </w:rPr>
        <w:t xml:space="preserve"> möglich.</w:t>
      </w:r>
      <w:r w:rsidRPr="00472EB5">
        <w:rPr>
          <w:rFonts w:ascii="Times New Roman" w:eastAsia="Times New Roman" w:hAnsi="Times New Roman" w:cs="Times New Roman"/>
          <w:kern w:val="0"/>
          <w:sz w:val="24"/>
          <w:szCs w:val="24"/>
          <w:lang w:eastAsia="de-DE"/>
          <w14:ligatures w14:val="none"/>
        </w:rPr>
        <w:pict w14:anchorId="7C2938E1">
          <v:rect id="_x0000_i1025" style="width:0;height:1.5pt" o:hralign="center" o:hrstd="t" o:hr="t" fillcolor="#a0a0a0" stroked="f"/>
        </w:pict>
      </w:r>
    </w:p>
    <w:p w14:paraId="77308355" w14:textId="133E7ECE" w:rsidR="00472EB5" w:rsidRPr="0034799B" w:rsidRDefault="00472EB5" w:rsidP="0034799B">
      <w:pPr>
        <w:spacing w:before="100" w:beforeAutospacing="1" w:after="100" w:afterAutospacing="1" w:line="240" w:lineRule="auto"/>
        <w:rPr>
          <w:rFonts w:ascii="Times New Roman" w:eastAsia="Times New Roman" w:hAnsi="Times New Roman" w:cs="Times New Roman"/>
          <w:b/>
          <w:bCs/>
          <w:kern w:val="0"/>
          <w:sz w:val="40"/>
          <w:szCs w:val="40"/>
          <w:lang w:eastAsia="de-DE"/>
          <w14:ligatures w14:val="none"/>
        </w:rPr>
      </w:pPr>
      <w:r w:rsidRPr="0034799B">
        <w:rPr>
          <w:rFonts w:ascii="Times New Roman" w:eastAsia="Times New Roman" w:hAnsi="Times New Roman" w:cs="Times New Roman"/>
          <w:b/>
          <w:bCs/>
          <w:kern w:val="0"/>
          <w:sz w:val="40"/>
          <w:szCs w:val="40"/>
          <w:lang w:eastAsia="de-DE"/>
          <w14:ligatures w14:val="none"/>
        </w:rPr>
        <w:t>Extrakt der Seiten 112 bis 130:</w:t>
      </w:r>
    </w:p>
    <w:p w14:paraId="641196B9" w14:textId="1EB3EA4E" w:rsidR="00472EB5" w:rsidRPr="0034799B" w:rsidRDefault="00472EB5" w:rsidP="00472EB5">
      <w:pPr>
        <w:spacing w:after="0" w:line="240" w:lineRule="auto"/>
        <w:rPr>
          <w:rFonts w:ascii="Times New Roman" w:eastAsia="Times New Roman" w:hAnsi="Times New Roman" w:cs="Times New Roman"/>
          <w:kern w:val="0"/>
          <w:sz w:val="40"/>
          <w:szCs w:val="40"/>
          <w:lang w:eastAsia="de-DE"/>
          <w14:ligatures w14:val="none"/>
        </w:rPr>
      </w:pPr>
      <w:r w:rsidRPr="0034799B">
        <w:rPr>
          <w:rFonts w:ascii="Times New Roman" w:eastAsia="Times New Roman" w:hAnsi="Times New Roman" w:cs="Times New Roman"/>
          <w:kern w:val="0"/>
          <w:sz w:val="40"/>
          <w:szCs w:val="40"/>
          <w:lang w:eastAsia="de-DE"/>
          <w14:ligatures w14:val="none"/>
        </w:rPr>
        <w:t xml:space="preserve">Möller analysiert die Entstehung, Funktion und räumliche Persistenz der Kirchspiele im Früh- und Hochmittelalter. Er zeigt, dass Kirchspiele weniger aus Herrschaftsstrukturen hervorgingen, sondern aus alltäglichen </w:t>
      </w:r>
      <w:proofErr w:type="spellStart"/>
      <w:r w:rsidRPr="0034799B">
        <w:rPr>
          <w:rFonts w:ascii="Times New Roman" w:eastAsia="Times New Roman" w:hAnsi="Times New Roman" w:cs="Times New Roman"/>
          <w:kern w:val="0"/>
          <w:sz w:val="40"/>
          <w:szCs w:val="40"/>
          <w:lang w:eastAsia="de-DE"/>
          <w14:ligatures w14:val="none"/>
        </w:rPr>
        <w:t>Wirtschafts</w:t>
      </w:r>
      <w:proofErr w:type="spellEnd"/>
      <w:r w:rsidRPr="0034799B">
        <w:rPr>
          <w:rFonts w:ascii="Times New Roman" w:eastAsia="Times New Roman" w:hAnsi="Times New Roman" w:cs="Times New Roman"/>
          <w:kern w:val="0"/>
          <w:sz w:val="40"/>
          <w:szCs w:val="40"/>
          <w:lang w:eastAsia="de-DE"/>
          <w14:ligatures w14:val="none"/>
        </w:rPr>
        <w:noBreakHyphen/>
        <w:t xml:space="preserve">, </w:t>
      </w:r>
      <w:proofErr w:type="spellStart"/>
      <w:r w:rsidRPr="0034799B">
        <w:rPr>
          <w:rFonts w:ascii="Times New Roman" w:eastAsia="Times New Roman" w:hAnsi="Times New Roman" w:cs="Times New Roman"/>
          <w:kern w:val="0"/>
          <w:sz w:val="40"/>
          <w:szCs w:val="40"/>
          <w:lang w:eastAsia="de-DE"/>
          <w14:ligatures w14:val="none"/>
        </w:rPr>
        <w:t>Kommunikations</w:t>
      </w:r>
      <w:proofErr w:type="spellEnd"/>
      <w:r w:rsidRPr="0034799B">
        <w:rPr>
          <w:rFonts w:ascii="Times New Roman" w:eastAsia="Times New Roman" w:hAnsi="Times New Roman" w:cs="Times New Roman"/>
          <w:kern w:val="0"/>
          <w:sz w:val="40"/>
          <w:szCs w:val="40"/>
          <w:lang w:eastAsia="de-DE"/>
          <w14:ligatures w14:val="none"/>
        </w:rPr>
        <w:noBreakHyphen/>
        <w:t xml:space="preserve"> und Nachbarschaftsbeziehungen zwischen Höfen und Siedlungsgruppen. Die Pfarrgrenzen stabilisierten sich früh (9.–11. Jh.) und blieben trotz späterer territorialer Eingriffe erstaunlich konstant. Kirchspiele bildeten soziale Handlungsräume für Abgaben, Gericht, Heiratskreise und gemeinschaftliche Pflichten. Naturräumliche Linien wie Täler und Höhenzüge prägten ihre Grenzen und erklären ihre lange historische Beständigkeit.</w:t>
      </w:r>
    </w:p>
    <w:p w14:paraId="1BCFB298" w14:textId="424092F6" w:rsidR="002C77F7" w:rsidRPr="0034799B" w:rsidRDefault="002C77F7" w:rsidP="00472EB5">
      <w:pPr>
        <w:spacing w:before="100" w:beforeAutospacing="1" w:after="100" w:afterAutospacing="1" w:line="240" w:lineRule="auto"/>
        <w:rPr>
          <w:rFonts w:ascii="Times New Roman" w:eastAsia="Times New Roman" w:hAnsi="Times New Roman" w:cs="Times New Roman"/>
          <w:kern w:val="0"/>
          <w:sz w:val="40"/>
          <w:szCs w:val="40"/>
          <w:lang w:eastAsia="de-DE"/>
          <w14:ligatures w14:val="none"/>
        </w:rPr>
      </w:pPr>
    </w:p>
    <w:sectPr w:rsidR="002C77F7" w:rsidRPr="003479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78C"/>
    <w:multiLevelType w:val="multilevel"/>
    <w:tmpl w:val="B22E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104FC"/>
    <w:multiLevelType w:val="multilevel"/>
    <w:tmpl w:val="4EBC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C2108"/>
    <w:multiLevelType w:val="multilevel"/>
    <w:tmpl w:val="BF66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A4731E"/>
    <w:multiLevelType w:val="multilevel"/>
    <w:tmpl w:val="4744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A3EF3"/>
    <w:multiLevelType w:val="multilevel"/>
    <w:tmpl w:val="40EE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AC730D"/>
    <w:multiLevelType w:val="multilevel"/>
    <w:tmpl w:val="2C34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142668">
    <w:abstractNumId w:val="1"/>
  </w:num>
  <w:num w:numId="2" w16cid:durableId="1615481854">
    <w:abstractNumId w:val="3"/>
  </w:num>
  <w:num w:numId="3" w16cid:durableId="1096245155">
    <w:abstractNumId w:val="0"/>
  </w:num>
  <w:num w:numId="4" w16cid:durableId="656958444">
    <w:abstractNumId w:val="5"/>
  </w:num>
  <w:num w:numId="5" w16cid:durableId="327094366">
    <w:abstractNumId w:val="4"/>
  </w:num>
  <w:num w:numId="6" w16cid:durableId="1781218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B5"/>
    <w:rsid w:val="002C77F7"/>
    <w:rsid w:val="002E3E3B"/>
    <w:rsid w:val="0034799B"/>
    <w:rsid w:val="00472EB5"/>
    <w:rsid w:val="00F038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69FE"/>
  <w15:chartTrackingRefBased/>
  <w15:docId w15:val="{0BAD2488-5F82-4B80-99D7-CD7D995E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72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72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72EB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72EB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72EB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72EB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72EB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72EB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72EB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72EB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72EB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72EB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72EB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72EB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72EB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72EB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72EB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72EB5"/>
    <w:rPr>
      <w:rFonts w:eastAsiaTheme="majorEastAsia" w:cstheme="majorBidi"/>
      <w:color w:val="272727" w:themeColor="text1" w:themeTint="D8"/>
    </w:rPr>
  </w:style>
  <w:style w:type="paragraph" w:styleId="Titel">
    <w:name w:val="Title"/>
    <w:basedOn w:val="Standard"/>
    <w:next w:val="Standard"/>
    <w:link w:val="TitelZchn"/>
    <w:uiPriority w:val="10"/>
    <w:qFormat/>
    <w:rsid w:val="00472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72EB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72EB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72EB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72EB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72EB5"/>
    <w:rPr>
      <w:i/>
      <w:iCs/>
      <w:color w:val="404040" w:themeColor="text1" w:themeTint="BF"/>
    </w:rPr>
  </w:style>
  <w:style w:type="paragraph" w:styleId="Listenabsatz">
    <w:name w:val="List Paragraph"/>
    <w:basedOn w:val="Standard"/>
    <w:uiPriority w:val="34"/>
    <w:qFormat/>
    <w:rsid w:val="00472EB5"/>
    <w:pPr>
      <w:ind w:left="720"/>
      <w:contextualSpacing/>
    </w:pPr>
  </w:style>
  <w:style w:type="character" w:styleId="IntensiveHervorhebung">
    <w:name w:val="Intense Emphasis"/>
    <w:basedOn w:val="Absatz-Standardschriftart"/>
    <w:uiPriority w:val="21"/>
    <w:qFormat/>
    <w:rsid w:val="00472EB5"/>
    <w:rPr>
      <w:i/>
      <w:iCs/>
      <w:color w:val="0F4761" w:themeColor="accent1" w:themeShade="BF"/>
    </w:rPr>
  </w:style>
  <w:style w:type="paragraph" w:styleId="IntensivesZitat">
    <w:name w:val="Intense Quote"/>
    <w:basedOn w:val="Standard"/>
    <w:next w:val="Standard"/>
    <w:link w:val="IntensivesZitatZchn"/>
    <w:uiPriority w:val="30"/>
    <w:qFormat/>
    <w:rsid w:val="00472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72EB5"/>
    <w:rPr>
      <w:i/>
      <w:iCs/>
      <w:color w:val="0F4761" w:themeColor="accent1" w:themeShade="BF"/>
    </w:rPr>
  </w:style>
  <w:style w:type="character" w:styleId="IntensiverVerweis">
    <w:name w:val="Intense Reference"/>
    <w:basedOn w:val="Absatz-Standardschriftart"/>
    <w:uiPriority w:val="32"/>
    <w:qFormat/>
    <w:rsid w:val="00472E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927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 Krause</dc:creator>
  <cp:keywords/>
  <dc:description/>
  <cp:lastModifiedBy>Rudi Krause</cp:lastModifiedBy>
  <cp:revision>1</cp:revision>
  <dcterms:created xsi:type="dcterms:W3CDTF">2026-06-23T07:18:00Z</dcterms:created>
  <dcterms:modified xsi:type="dcterms:W3CDTF">2026-06-23T07:31:00Z</dcterms:modified>
</cp:coreProperties>
</file>